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CF" w:rsidRDefault="002045CF" w:rsidP="002045CF">
      <w:pPr>
        <w:spacing w:after="0" w:line="240" w:lineRule="auto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2045CF">
        <w:rPr>
          <w:rFonts w:ascii="Sylfaen" w:eastAsia="Times New Roman" w:hAnsi="Sylfaen" w:cs="Arial"/>
          <w:b/>
          <w:sz w:val="24"/>
          <w:szCs w:val="24"/>
          <w:lang w:val="ka-GE"/>
        </w:rPr>
        <w:t>მოთხოვნები</w:t>
      </w:r>
      <w:r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 </w:t>
      </w:r>
      <w:r w:rsidRPr="002045CF">
        <w:rPr>
          <w:rFonts w:ascii="Sylfaen" w:eastAsia="Times New Roman" w:hAnsi="Sylfaen" w:cs="Arial"/>
          <w:b/>
          <w:sz w:val="24"/>
          <w:szCs w:val="24"/>
        </w:rPr>
        <w:t xml:space="preserve">GMP/GDP </w:t>
      </w:r>
      <w:r w:rsidRPr="002045CF">
        <w:rPr>
          <w:rFonts w:ascii="Sylfaen" w:eastAsia="Times New Roman" w:hAnsi="Sylfaen" w:cs="Arial"/>
          <w:b/>
          <w:sz w:val="24"/>
          <w:szCs w:val="24"/>
          <w:lang w:val="ka-GE"/>
        </w:rPr>
        <w:t>ინსპექტორების კვალიფიკაცი</w:t>
      </w:r>
      <w:r>
        <w:rPr>
          <w:rFonts w:ascii="Sylfaen" w:eastAsia="Times New Roman" w:hAnsi="Sylfaen" w:cs="Arial"/>
          <w:b/>
          <w:sz w:val="24"/>
          <w:szCs w:val="24"/>
          <w:lang w:val="ka-GE"/>
        </w:rPr>
        <w:t>ის მიმართ</w:t>
      </w:r>
    </w:p>
    <w:p w:rsidR="002045CF" w:rsidRDefault="002045CF" w:rsidP="002045CF">
      <w:pPr>
        <w:spacing w:after="0" w:line="240" w:lineRule="auto"/>
        <w:jc w:val="center"/>
        <w:rPr>
          <w:rFonts w:ascii="Sylfaen" w:eastAsia="Times New Roman" w:hAnsi="Sylfaen" w:cs="Arial"/>
          <w:sz w:val="24"/>
          <w:szCs w:val="24"/>
        </w:rPr>
      </w:pPr>
    </w:p>
    <w:p w:rsidR="00A10775" w:rsidRDefault="00A10775" w:rsidP="00A10775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ევროგაერთიანებაში დადგენილია  ინსპექტირების და ინფორმაციის გაცვლის დეტალური პროცედურები</w:t>
      </w:r>
      <w:r w:rsidRPr="00A10775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ka-GE"/>
        </w:rPr>
        <w:t>(</w:t>
      </w:r>
      <w:r w:rsidRPr="00C63FE1">
        <w:rPr>
          <w:rFonts w:ascii="Sylfaen" w:eastAsia="Times New Roman" w:hAnsi="Sylfaen" w:cs="Arial"/>
          <w:sz w:val="24"/>
          <w:szCs w:val="24"/>
          <w:lang w:val="ka-GE"/>
        </w:rPr>
        <w:t xml:space="preserve">Compilation of Community Procedures on Inspections </w:t>
      </w:r>
      <w:r w:rsidRPr="00A10775">
        <w:rPr>
          <w:rFonts w:ascii="Sylfaen" w:eastAsia="Times New Roman" w:hAnsi="Sylfaen" w:cs="Arial"/>
          <w:sz w:val="24"/>
          <w:szCs w:val="24"/>
          <w:lang w:val="ka-GE"/>
        </w:rPr>
        <w:t>and Exchange of I</w:t>
      </w:r>
      <w:r w:rsidRPr="00C63FE1">
        <w:rPr>
          <w:rFonts w:ascii="Sylfaen" w:eastAsia="Times New Roman" w:hAnsi="Sylfaen" w:cs="Arial"/>
          <w:sz w:val="24"/>
          <w:szCs w:val="24"/>
          <w:lang w:val="ka-GE"/>
        </w:rPr>
        <w:t>nformation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; 03/10/2014), რომელიც გამოცემულია ევროკომისს მიერ და ვრცელდება ყველა წევრ ქვეყანაზე. </w:t>
      </w:r>
    </w:p>
    <w:p w:rsidR="00A10775" w:rsidRDefault="00A10775" w:rsidP="00A10775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</w:p>
    <w:p w:rsidR="00A10775" w:rsidRDefault="00A10775" w:rsidP="00A10775">
      <w:pPr>
        <w:spacing w:after="0" w:line="240" w:lineRule="auto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აღნიშნულ დოკუმენტში თავმოყრილია სხვადასხვა გაიდლაინები, მათ შორის</w:t>
      </w:r>
    </w:p>
    <w:p w:rsidR="00654CBE" w:rsidRPr="00654CBE" w:rsidRDefault="00A10775" w:rsidP="00654CBE">
      <w:pPr>
        <w:rPr>
          <w:rFonts w:ascii="Arial" w:eastAsia="Times New Roman" w:hAnsi="Arial" w:cs="Arial"/>
          <w:sz w:val="40"/>
          <w:szCs w:val="40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1.  გაიდლაინი</w:t>
      </w:r>
      <w:r w:rsidRPr="00A10775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 w:rsidR="00654CBE" w:rsidRPr="00654CBE">
        <w:rPr>
          <w:rFonts w:ascii="Sylfaen" w:eastAsia="Times New Roman" w:hAnsi="Sylfaen" w:cs="Arial"/>
          <w:sz w:val="24"/>
          <w:szCs w:val="24"/>
          <w:lang w:val="ka-GE"/>
        </w:rPr>
        <w:t>GMP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ინსპექტორების მომზადებისა და კვალიფიკაციის შესახებ </w:t>
      </w:r>
      <w:r w:rsidR="00654CBE" w:rsidRPr="00654CBE">
        <w:rPr>
          <w:rFonts w:ascii="Sylfaen" w:eastAsia="Times New Roman" w:hAnsi="Sylfaen" w:cs="Arial"/>
          <w:sz w:val="24"/>
          <w:szCs w:val="24"/>
          <w:lang w:val="ka-GE"/>
        </w:rPr>
        <w:t xml:space="preserve">(Guideline on Training and Qualifications of GMP Inspectors  </w:t>
      </w:r>
      <w:r w:rsidR="00654CBE">
        <w:rPr>
          <w:rFonts w:ascii="Sylfaen" w:eastAsia="Times New Roman" w:hAnsi="Sylfaen" w:cs="Arial"/>
          <w:sz w:val="24"/>
          <w:szCs w:val="24"/>
          <w:lang w:val="ka-GE"/>
        </w:rPr>
        <w:t>(</w:t>
      </w:r>
      <w:r w:rsidR="00623DC6">
        <w:rPr>
          <w:rFonts w:ascii="Sylfaen" w:eastAsia="Times New Roman" w:hAnsi="Sylfaen" w:cs="Arial"/>
          <w:sz w:val="24"/>
          <w:szCs w:val="24"/>
          <w:lang w:val="ka-GE"/>
        </w:rPr>
        <w:t xml:space="preserve">ქვეთავი: </w:t>
      </w:r>
      <w:r w:rsidR="00654CBE" w:rsidRPr="00654CBE">
        <w:rPr>
          <w:rFonts w:ascii="Sylfaen" w:eastAsia="Times New Roman" w:hAnsi="Sylfaen" w:cs="Arial"/>
          <w:sz w:val="24"/>
          <w:szCs w:val="24"/>
          <w:lang w:val="ka-GE"/>
        </w:rPr>
        <w:t>G</w:t>
      </w:r>
      <w:r w:rsidR="00A61504" w:rsidRPr="00A61504">
        <w:rPr>
          <w:rFonts w:ascii="Sylfaen" w:eastAsia="Times New Roman" w:hAnsi="Sylfaen" w:cs="Arial"/>
          <w:sz w:val="24"/>
          <w:szCs w:val="24"/>
          <w:lang w:val="ka-GE"/>
        </w:rPr>
        <w:t>M</w:t>
      </w:r>
      <w:r w:rsidR="00654CBE" w:rsidRPr="00654CBE">
        <w:rPr>
          <w:rFonts w:ascii="Sylfaen" w:eastAsia="Times New Roman" w:hAnsi="Sylfaen" w:cs="Arial"/>
          <w:sz w:val="24"/>
          <w:szCs w:val="24"/>
          <w:lang w:val="ka-GE"/>
        </w:rPr>
        <w:t>P</w:t>
      </w:r>
      <w:r w:rsidR="00654CBE">
        <w:rPr>
          <w:rFonts w:ascii="Sylfaen" w:eastAsia="Times New Roman" w:hAnsi="Sylfaen" w:cs="Arial"/>
          <w:sz w:val="24"/>
          <w:szCs w:val="24"/>
          <w:lang w:val="ka-GE"/>
        </w:rPr>
        <w:t xml:space="preserve">-ინსპექციების პროცედურები, გვ. </w:t>
      </w:r>
      <w:r w:rsidR="00654CBE" w:rsidRPr="00654CBE">
        <w:rPr>
          <w:rFonts w:ascii="Sylfaen" w:eastAsia="Times New Roman" w:hAnsi="Sylfaen" w:cs="Arial"/>
          <w:sz w:val="24"/>
          <w:szCs w:val="24"/>
          <w:lang w:val="ka-GE"/>
        </w:rPr>
        <w:t>56-61</w:t>
      </w:r>
      <w:r w:rsidR="00654CBE">
        <w:rPr>
          <w:rFonts w:ascii="Sylfaen" w:eastAsia="Times New Roman" w:hAnsi="Sylfaen" w:cs="Arial"/>
          <w:sz w:val="24"/>
          <w:szCs w:val="24"/>
          <w:lang w:val="ka-GE"/>
        </w:rPr>
        <w:t xml:space="preserve">); </w:t>
      </w:r>
    </w:p>
    <w:p w:rsidR="00654CBE" w:rsidRPr="00654CBE" w:rsidRDefault="00654CBE" w:rsidP="00654CBE">
      <w:pPr>
        <w:rPr>
          <w:rFonts w:ascii="Arial" w:eastAsia="Times New Roman" w:hAnsi="Arial" w:cs="Arial"/>
          <w:sz w:val="40"/>
          <w:szCs w:val="40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2. გაიდლაინი</w:t>
      </w:r>
      <w:r w:rsidRPr="00A10775">
        <w:rPr>
          <w:rFonts w:ascii="Arial" w:eastAsia="Times New Roman" w:hAnsi="Arial" w:cs="Arial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ka-GE"/>
        </w:rPr>
        <w:t>საბითუმო დისტრიბუტოროების ინსპექტირების განმახორციელებელი ინსპექტორების მომზადებისა და კვალიფიკაციის შესახებ (</w:t>
      </w:r>
      <w:r w:rsidRPr="00A10775">
        <w:rPr>
          <w:rFonts w:ascii="Sylfaen" w:eastAsia="Times New Roman" w:hAnsi="Sylfaen" w:cs="Arial"/>
          <w:sz w:val="24"/>
          <w:szCs w:val="24"/>
          <w:lang w:val="ka-GE"/>
        </w:rPr>
        <w:t>Guideline on Training and Qualification of Inspectors  Performing Inspections of Wholesale Distributors)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(</w:t>
      </w:r>
      <w:r w:rsidR="00623DC6">
        <w:rPr>
          <w:rFonts w:ascii="Sylfaen" w:eastAsia="Times New Roman" w:hAnsi="Sylfaen" w:cs="Arial"/>
          <w:sz w:val="24"/>
          <w:szCs w:val="24"/>
          <w:lang w:val="ka-GE"/>
        </w:rPr>
        <w:t xml:space="preserve">ქვეთავი: </w:t>
      </w:r>
      <w:r w:rsidRPr="00654CBE">
        <w:rPr>
          <w:rFonts w:ascii="Sylfaen" w:eastAsia="Times New Roman" w:hAnsi="Sylfaen" w:cs="Arial"/>
          <w:sz w:val="24"/>
          <w:szCs w:val="24"/>
          <w:lang w:val="ka-GE"/>
        </w:rPr>
        <w:t>GDP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-ინსპექციების პროცედურები, გვ. 126-130); </w:t>
      </w:r>
    </w:p>
    <w:p w:rsidR="00A10775" w:rsidRPr="00A61504" w:rsidRDefault="00654CBE" w:rsidP="00654CBE">
      <w:pPr>
        <w:spacing w:after="0" w:line="240" w:lineRule="auto"/>
        <w:rPr>
          <w:rFonts w:ascii="Arial" w:eastAsia="Times New Roman" w:hAnsi="Arial" w:cs="Arial"/>
          <w:sz w:val="21"/>
          <w:szCs w:val="21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</w:p>
    <w:p w:rsidR="002045CF" w:rsidRDefault="00CE56E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  <w:r>
        <w:rPr>
          <w:rFonts w:ascii="Sylfaen" w:eastAsia="Times New Roman" w:hAnsi="Sylfaen" w:cs="Arial"/>
          <w:sz w:val="23"/>
          <w:szCs w:val="23"/>
          <w:lang w:val="ka-GE"/>
        </w:rPr>
        <w:t xml:space="preserve">ზოგადი მოთხოვნების თანახმად, </w:t>
      </w:r>
      <w:r w:rsidRPr="00654CBE">
        <w:rPr>
          <w:rFonts w:ascii="Sylfaen" w:eastAsia="Times New Roman" w:hAnsi="Sylfaen" w:cs="Arial"/>
          <w:sz w:val="24"/>
          <w:szCs w:val="24"/>
          <w:lang w:val="ka-GE"/>
        </w:rPr>
        <w:t>GMP</w:t>
      </w:r>
      <w:r>
        <w:rPr>
          <w:rFonts w:ascii="Sylfaen" w:eastAsia="Times New Roman" w:hAnsi="Sylfaen" w:cs="Arial"/>
          <w:sz w:val="23"/>
          <w:szCs w:val="23"/>
          <w:lang w:val="ka-GE"/>
        </w:rPr>
        <w:t xml:space="preserve"> </w:t>
      </w:r>
      <w:r w:rsidR="002045CF">
        <w:rPr>
          <w:rFonts w:ascii="Sylfaen" w:eastAsia="Times New Roman" w:hAnsi="Sylfaen" w:cs="Arial"/>
          <w:sz w:val="23"/>
          <w:szCs w:val="23"/>
          <w:lang w:val="ka-GE"/>
        </w:rPr>
        <w:t>ინსპექტორები უნდა იყვნენ ზედმიწევნით კარგად მომზადებულები</w:t>
      </w:r>
      <w:r w:rsidR="00F10971">
        <w:rPr>
          <w:rFonts w:ascii="Sylfaen" w:eastAsia="Times New Roman" w:hAnsi="Sylfaen" w:cs="Arial"/>
          <w:sz w:val="23"/>
          <w:szCs w:val="23"/>
          <w:lang w:val="ka-GE"/>
        </w:rPr>
        <w:t xml:space="preserve"> ისეთ მიმართულებებში, როგორიცაა</w:t>
      </w:r>
      <w:r>
        <w:rPr>
          <w:rFonts w:ascii="Sylfaen" w:eastAsia="Times New Roman" w:hAnsi="Sylfaen" w:cs="Arial"/>
          <w:sz w:val="23"/>
          <w:szCs w:val="23"/>
          <w:lang w:val="ka-GE"/>
        </w:rPr>
        <w:t xml:space="preserve"> „ხარისხის უზრუნველყოფის მართვ</w:t>
      </w:r>
      <w:r w:rsidR="00F10971">
        <w:rPr>
          <w:rFonts w:ascii="Sylfaen" w:eastAsia="Times New Roman" w:hAnsi="Sylfaen" w:cs="Arial"/>
          <w:sz w:val="23"/>
          <w:szCs w:val="23"/>
          <w:lang w:val="ka-GE"/>
        </w:rPr>
        <w:t>ა“</w:t>
      </w:r>
      <w:r>
        <w:rPr>
          <w:rFonts w:ascii="Sylfaen" w:eastAsia="Times New Roman" w:hAnsi="Sylfaen" w:cs="Arial"/>
          <w:sz w:val="23"/>
          <w:szCs w:val="23"/>
          <w:lang w:val="ka-GE"/>
        </w:rPr>
        <w:t>, საწარმოო პროცესები, კონტროლი და დისტრიბუცია, ინსპექტირებ</w:t>
      </w:r>
      <w:r w:rsidR="00F10971">
        <w:rPr>
          <w:rFonts w:ascii="Sylfaen" w:eastAsia="Times New Roman" w:hAnsi="Sylfaen" w:cs="Arial"/>
          <w:sz w:val="23"/>
          <w:szCs w:val="23"/>
          <w:lang w:val="ka-GE"/>
        </w:rPr>
        <w:t>ი</w:t>
      </w:r>
      <w:r>
        <w:rPr>
          <w:rFonts w:ascii="Sylfaen" w:eastAsia="Times New Roman" w:hAnsi="Sylfaen" w:cs="Arial"/>
          <w:sz w:val="23"/>
          <w:szCs w:val="23"/>
          <w:lang w:val="ka-GE"/>
        </w:rPr>
        <w:t>ს მეთოდოლოგი</w:t>
      </w:r>
      <w:r w:rsidR="00F10971">
        <w:rPr>
          <w:rFonts w:ascii="Sylfaen" w:eastAsia="Times New Roman" w:hAnsi="Sylfaen" w:cs="Arial"/>
          <w:sz w:val="23"/>
          <w:szCs w:val="23"/>
          <w:lang w:val="ka-GE"/>
        </w:rPr>
        <w:t>ა. გაიდლაინი მხოლოდ მინიმალურ მოთხოვნებს აწესებს, წევრ-ქვეყნებს შ</w:t>
      </w:r>
      <w:r w:rsidR="005E2E54">
        <w:rPr>
          <w:rFonts w:ascii="Sylfaen" w:eastAsia="Times New Roman" w:hAnsi="Sylfaen" w:cs="Arial"/>
          <w:sz w:val="23"/>
          <w:szCs w:val="23"/>
          <w:lang w:val="ka-GE"/>
        </w:rPr>
        <w:t>ე</w:t>
      </w:r>
      <w:r w:rsidR="00F10971">
        <w:rPr>
          <w:rFonts w:ascii="Sylfaen" w:eastAsia="Times New Roman" w:hAnsi="Sylfaen" w:cs="Arial"/>
          <w:sz w:val="23"/>
          <w:szCs w:val="23"/>
          <w:lang w:val="ka-GE"/>
        </w:rPr>
        <w:t xml:space="preserve">უძლიათ დამატებითი ეროვნული მოთხოვნების წაყენება. </w:t>
      </w:r>
      <w:r>
        <w:rPr>
          <w:rFonts w:ascii="Sylfaen" w:eastAsia="Times New Roman" w:hAnsi="Sylfaen" w:cs="Arial"/>
          <w:sz w:val="23"/>
          <w:szCs w:val="23"/>
          <w:lang w:val="ka-GE"/>
        </w:rPr>
        <w:t xml:space="preserve"> </w:t>
      </w:r>
    </w:p>
    <w:p w:rsidR="00CE56E4" w:rsidRDefault="00CE56E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5E2E54" w:rsidRDefault="005E2E54" w:rsidP="002045CF">
      <w:pPr>
        <w:spacing w:after="0" w:line="240" w:lineRule="auto"/>
        <w:rPr>
          <w:rFonts w:ascii="Sylfaen" w:eastAsia="Times New Roman" w:hAnsi="Sylfaen" w:cs="Arial"/>
          <w:sz w:val="23"/>
          <w:szCs w:val="23"/>
          <w:lang w:val="ka-GE"/>
        </w:rPr>
      </w:pPr>
    </w:p>
    <w:p w:rsidR="002045CF" w:rsidRPr="00F10971" w:rsidRDefault="00F10971">
      <w:pPr>
        <w:rPr>
          <w:rFonts w:ascii="Sylfaen" w:hAnsi="Sylfaen"/>
          <w:b/>
          <w:lang w:val="ka-GE"/>
        </w:rPr>
      </w:pPr>
      <w:r w:rsidRPr="00F10971">
        <w:rPr>
          <w:rFonts w:ascii="Sylfaen" w:eastAsia="Times New Roman" w:hAnsi="Sylfaen" w:cs="Arial"/>
          <w:b/>
          <w:sz w:val="24"/>
          <w:szCs w:val="24"/>
          <w:lang w:val="ka-GE"/>
        </w:rPr>
        <w:lastRenderedPageBreak/>
        <w:t>GMP</w:t>
      </w:r>
      <w:r w:rsidR="00184F79">
        <w:rPr>
          <w:rFonts w:ascii="Sylfaen" w:eastAsia="Times New Roman" w:hAnsi="Sylfaen" w:cs="Arial"/>
          <w:b/>
          <w:sz w:val="24"/>
          <w:szCs w:val="24"/>
        </w:rPr>
        <w:t>/GDP</w:t>
      </w:r>
      <w:r w:rsidRPr="00F10971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 ინსპექტორები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172"/>
        <w:gridCol w:w="4856"/>
      </w:tblGrid>
      <w:tr w:rsidR="00184F79" w:rsidTr="00B66F44">
        <w:tc>
          <w:tcPr>
            <w:tcW w:w="2802" w:type="dxa"/>
          </w:tcPr>
          <w:p w:rsidR="00184F79" w:rsidRPr="003805B7" w:rsidRDefault="00184F79">
            <w:pPr>
              <w:rPr>
                <w:rFonts w:ascii="Sylfaen" w:hAnsi="Sylfaen"/>
                <w:b/>
              </w:rPr>
            </w:pPr>
          </w:p>
        </w:tc>
        <w:tc>
          <w:tcPr>
            <w:tcW w:w="5172" w:type="dxa"/>
          </w:tcPr>
          <w:p w:rsidR="00184F79" w:rsidRPr="00375A48" w:rsidRDefault="00184F79" w:rsidP="00375A48">
            <w:pPr>
              <w:jc w:val="center"/>
              <w:rPr>
                <w:rFonts w:ascii="Sylfaen" w:hAnsi="Sylfaen"/>
                <w:b/>
              </w:rPr>
            </w:pPr>
            <w:r w:rsidRPr="00375A48">
              <w:rPr>
                <w:rFonts w:ascii="Sylfaen" w:hAnsi="Sylfaen"/>
                <w:b/>
              </w:rPr>
              <w:t>GMP</w:t>
            </w:r>
          </w:p>
        </w:tc>
        <w:tc>
          <w:tcPr>
            <w:tcW w:w="4856" w:type="dxa"/>
          </w:tcPr>
          <w:p w:rsidR="00184F79" w:rsidRPr="00375A48" w:rsidRDefault="00184F79" w:rsidP="00375A4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375A48">
              <w:rPr>
                <w:rFonts w:ascii="Sylfaen" w:hAnsi="Sylfaen"/>
                <w:b/>
              </w:rPr>
              <w:t>GDP</w:t>
            </w:r>
          </w:p>
        </w:tc>
      </w:tr>
      <w:tr w:rsidR="00184F79" w:rsidTr="00B66F44">
        <w:tc>
          <w:tcPr>
            <w:tcW w:w="2802" w:type="dxa"/>
          </w:tcPr>
          <w:p w:rsidR="00184F79" w:rsidRPr="00F10971" w:rsidRDefault="00184F79">
            <w:pPr>
              <w:rPr>
                <w:rFonts w:ascii="Sylfaen" w:hAnsi="Sylfaen"/>
                <w:b/>
                <w:lang w:val="ka-GE"/>
              </w:rPr>
            </w:pPr>
            <w:r w:rsidRPr="00F10971">
              <w:rPr>
                <w:rFonts w:ascii="Sylfaen" w:hAnsi="Sylfaen"/>
                <w:b/>
                <w:lang w:val="ka-GE"/>
              </w:rPr>
              <w:t>ზოგადი მოთხოვნები</w:t>
            </w:r>
          </w:p>
        </w:tc>
        <w:tc>
          <w:tcPr>
            <w:tcW w:w="5172" w:type="dxa"/>
          </w:tcPr>
          <w:p w:rsidR="00184F79" w:rsidRDefault="00184F79" w:rsidP="00184F79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1. ინსპექტორს უნდა ჰქონდეს მინიჭებული შესაბამისი </w:t>
            </w:r>
            <w:r w:rsidRPr="003840D6">
              <w:rPr>
                <w:rFonts w:ascii="Sylfaen" w:hAnsi="Sylfaen"/>
                <w:b/>
                <w:lang w:val="ka-GE"/>
              </w:rPr>
              <w:t>ოფიციალური უფლებამოსილება</w:t>
            </w:r>
            <w:r w:rsidR="005E2E54">
              <w:rPr>
                <w:rFonts w:ascii="Sylfaen" w:hAnsi="Sylfaen"/>
                <w:b/>
                <w:lang w:val="ka-GE"/>
              </w:rPr>
              <w:t xml:space="preserve"> (ამ უფლებამოსილებაში იგულისხმება ისიც, რომ არ უნდა იყოს საჭირო ზემდგომი პირის წერილობითი ბრძანება თითოეული ობიექტის ინსპექტირებისათვის)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="00B66F44" w:rsidRPr="00B66F44" w:rsidRDefault="00B66F44" w:rsidP="00184F79">
            <w:pPr>
              <w:rPr>
                <w:rFonts w:ascii="Sylfaen" w:hAnsi="Sylfaen"/>
              </w:rPr>
            </w:pPr>
          </w:p>
          <w:p w:rsidR="00184F79" w:rsidRDefault="00184F79" w:rsidP="00184F79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 გააჩნდეთ შესაბამისი კომპეტენცია, რის შესანარჩუნებლადაც </w:t>
            </w:r>
            <w:r w:rsidRPr="003840D6">
              <w:rPr>
                <w:rFonts w:ascii="Sylfaen" w:hAnsi="Sylfaen"/>
                <w:b/>
                <w:lang w:val="ka-GE"/>
              </w:rPr>
              <w:t>საჭიროებენ მუდმივ ტრენინგს</w:t>
            </w:r>
            <w:r>
              <w:rPr>
                <w:rFonts w:ascii="Sylfaen" w:hAnsi="Sylfaen"/>
                <w:lang w:val="ka-GE"/>
              </w:rPr>
              <w:t xml:space="preserve">; ტრენინგებზე </w:t>
            </w:r>
            <w:r w:rsidRPr="003840D6">
              <w:rPr>
                <w:rFonts w:ascii="Sylfaen" w:hAnsi="Sylfaen"/>
                <w:b/>
                <w:lang w:val="ka-GE"/>
              </w:rPr>
              <w:t>პასუხისმგებელია მარეგულირებელი ორგანო;</w:t>
            </w:r>
          </w:p>
          <w:p w:rsidR="005E2E54" w:rsidRDefault="005E2E54" w:rsidP="00184F79">
            <w:pPr>
              <w:rPr>
                <w:rFonts w:ascii="Sylfaen" w:hAnsi="Sylfaen"/>
                <w:lang w:val="ka-GE"/>
              </w:rPr>
            </w:pPr>
          </w:p>
          <w:p w:rsidR="00184F79" w:rsidRDefault="00184F79" w:rsidP="00184F79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3. აღებული უნდა </w:t>
            </w:r>
            <w:r w:rsidR="005E2E54">
              <w:rPr>
                <w:rFonts w:ascii="Sylfaen" w:hAnsi="Sylfaen"/>
                <w:lang w:val="ka-GE"/>
              </w:rPr>
              <w:t>ჰქონ</w:t>
            </w:r>
            <w:r>
              <w:rPr>
                <w:rFonts w:ascii="Sylfaen" w:hAnsi="Sylfaen"/>
                <w:lang w:val="ka-GE"/>
              </w:rPr>
              <w:t xml:space="preserve">დეთ </w:t>
            </w:r>
            <w:r w:rsidRPr="003840D6">
              <w:rPr>
                <w:rFonts w:ascii="Sylfaen" w:hAnsi="Sylfaen"/>
                <w:b/>
                <w:lang w:val="ka-GE"/>
              </w:rPr>
              <w:t>კონფიდენციალური ინფორმაციის</w:t>
            </w:r>
            <w:r>
              <w:rPr>
                <w:rFonts w:ascii="Sylfaen" w:hAnsi="Sylfaen"/>
                <w:lang w:val="ka-GE"/>
              </w:rPr>
              <w:t xml:space="preserve"> დაცვის ვალდებულება</w:t>
            </w:r>
            <w:r w:rsidR="005E2E54">
              <w:rPr>
                <w:rFonts w:ascii="Sylfaen" w:hAnsi="Sylfaen"/>
                <w:lang w:val="ka-GE"/>
              </w:rPr>
              <w:t xml:space="preserve"> (წერილობითი დოკუმენტი)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="00B66F44" w:rsidRPr="00B66F44" w:rsidRDefault="00B66F44" w:rsidP="00184F79">
            <w:pPr>
              <w:rPr>
                <w:rFonts w:ascii="Sylfaen" w:hAnsi="Sylfaen"/>
              </w:rPr>
            </w:pPr>
          </w:p>
          <w:p w:rsidR="00184F79" w:rsidRDefault="00184F79" w:rsidP="00184F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 გააჩნდეთ სპეციფიკური პერსონალური უნარ-ჩვევები, აღიარებულ ენაზე (ინგლისური) ზეპირი მეტყველების და წერის უნარი.</w:t>
            </w:r>
          </w:p>
        </w:tc>
        <w:tc>
          <w:tcPr>
            <w:tcW w:w="4856" w:type="dxa"/>
          </w:tcPr>
          <w:p w:rsidR="00E11871" w:rsidRDefault="00E11871" w:rsidP="00E11871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1. ინსპექტორს უნდა ჰქონდეს მინიჭებული შესაბამისი </w:t>
            </w:r>
            <w:r w:rsidRPr="003840D6">
              <w:rPr>
                <w:rFonts w:ascii="Sylfaen" w:hAnsi="Sylfaen"/>
                <w:b/>
                <w:lang w:val="ka-GE"/>
              </w:rPr>
              <w:t>ოფიციალური უფლებამოსილება</w:t>
            </w:r>
            <w:r w:rsidR="005E2E54">
              <w:rPr>
                <w:rFonts w:ascii="Sylfaen" w:hAnsi="Sylfaen"/>
                <w:b/>
                <w:lang w:val="ka-GE"/>
              </w:rPr>
              <w:t xml:space="preserve"> (ამ უფლებამოსილებაში იგულისხმება ისიც, რომ არ უნდა იყოს საჭირო ზემდგომი პირის წერილობითი ბრძანება თითოეული ობიექტის ინსპექტირებისათვის)</w:t>
            </w:r>
            <w:r w:rsidR="005E2E54">
              <w:rPr>
                <w:rFonts w:ascii="Sylfaen" w:hAnsi="Sylfaen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="00E11871" w:rsidRPr="00B66F44" w:rsidRDefault="00E11871" w:rsidP="00E11871">
            <w:pPr>
              <w:rPr>
                <w:rFonts w:ascii="Sylfaen" w:hAnsi="Sylfaen"/>
              </w:rPr>
            </w:pPr>
          </w:p>
          <w:p w:rsidR="00E11871" w:rsidRDefault="00E11871" w:rsidP="00E1187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 გააჩნდეთ შესაბამისი კომპეტენცია, რის შესანარჩუნებლადაც </w:t>
            </w:r>
            <w:r w:rsidRPr="003840D6">
              <w:rPr>
                <w:rFonts w:ascii="Sylfaen" w:hAnsi="Sylfaen"/>
                <w:b/>
                <w:lang w:val="ka-GE"/>
              </w:rPr>
              <w:t>საჭიროებენ მუდმივ ტრენინგს</w:t>
            </w:r>
            <w:r>
              <w:rPr>
                <w:rFonts w:ascii="Sylfaen" w:hAnsi="Sylfaen"/>
                <w:lang w:val="ka-GE"/>
              </w:rPr>
              <w:t xml:space="preserve">; ტრენინგებზე </w:t>
            </w:r>
            <w:r w:rsidRPr="003840D6">
              <w:rPr>
                <w:rFonts w:ascii="Sylfaen" w:hAnsi="Sylfaen"/>
                <w:b/>
                <w:lang w:val="ka-GE"/>
              </w:rPr>
              <w:t>პასუხისმგებელია მარეგულირებელი ორგანო;</w:t>
            </w:r>
          </w:p>
          <w:p w:rsidR="005E2E54" w:rsidRDefault="005E2E54" w:rsidP="00E11871">
            <w:pPr>
              <w:rPr>
                <w:rFonts w:ascii="Sylfaen" w:hAnsi="Sylfaen"/>
                <w:lang w:val="ka-GE"/>
              </w:rPr>
            </w:pPr>
          </w:p>
          <w:p w:rsidR="00E11871" w:rsidRDefault="00E11871" w:rsidP="00E1187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აღებული უნდა </w:t>
            </w:r>
            <w:r w:rsidR="005E2E54">
              <w:rPr>
                <w:rFonts w:ascii="Sylfaen" w:hAnsi="Sylfaen"/>
                <w:lang w:val="ka-GE"/>
              </w:rPr>
              <w:t>ჰქონ</w:t>
            </w:r>
            <w:r>
              <w:rPr>
                <w:rFonts w:ascii="Sylfaen" w:hAnsi="Sylfaen"/>
                <w:lang w:val="ka-GE"/>
              </w:rPr>
              <w:t xml:space="preserve">დეთ </w:t>
            </w:r>
            <w:r w:rsidRPr="003840D6">
              <w:rPr>
                <w:rFonts w:ascii="Sylfaen" w:hAnsi="Sylfaen"/>
                <w:b/>
                <w:lang w:val="ka-GE"/>
              </w:rPr>
              <w:t>კონფიდენციალური ინფორმაციის</w:t>
            </w:r>
            <w:r>
              <w:rPr>
                <w:rFonts w:ascii="Sylfaen" w:hAnsi="Sylfaen"/>
                <w:lang w:val="ka-GE"/>
              </w:rPr>
              <w:t xml:space="preserve"> დაცვის ვალდებულება</w:t>
            </w:r>
            <w:r w:rsidR="005E2E54">
              <w:rPr>
                <w:rFonts w:ascii="Sylfaen" w:hAnsi="Sylfaen"/>
                <w:lang w:val="ka-GE"/>
              </w:rPr>
              <w:t xml:space="preserve"> (წერილობითი დოკუმენტი)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="00E11871" w:rsidRDefault="00E11871" w:rsidP="00E11871">
            <w:pPr>
              <w:rPr>
                <w:rFonts w:ascii="Sylfaen" w:hAnsi="Sylfaen"/>
              </w:rPr>
            </w:pPr>
          </w:p>
          <w:p w:rsidR="00184F79" w:rsidRDefault="00E1187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 გააჩნდეთ სპეციფიკური პერსონალური უნარ-ჩვევები, აღიარებულ ენაზე (ინგლისური) ზეპირი მეტყველების და წერის უნარი.</w:t>
            </w:r>
          </w:p>
        </w:tc>
      </w:tr>
      <w:tr w:rsidR="00184F79" w:rsidTr="00B66F44">
        <w:tc>
          <w:tcPr>
            <w:tcW w:w="2802" w:type="dxa"/>
          </w:tcPr>
          <w:p w:rsidR="00184F79" w:rsidRPr="00CF0113" w:rsidRDefault="00184F79">
            <w:pPr>
              <w:rPr>
                <w:rFonts w:ascii="Sylfaen" w:hAnsi="Sylfaen"/>
                <w:b/>
                <w:lang w:val="ka-GE"/>
              </w:rPr>
            </w:pPr>
            <w:r w:rsidRPr="00CF0113">
              <w:rPr>
                <w:rFonts w:ascii="Sylfaen" w:hAnsi="Sylfaen"/>
                <w:b/>
                <w:lang w:val="ka-GE"/>
              </w:rPr>
              <w:t>კვალიფიკაცია</w:t>
            </w:r>
            <w:r w:rsidR="005E2E54">
              <w:rPr>
                <w:rFonts w:ascii="Sylfaen" w:hAnsi="Sylfaen"/>
                <w:b/>
                <w:lang w:val="ka-GE"/>
              </w:rPr>
              <w:t xml:space="preserve"> - საკონკურსო</w:t>
            </w:r>
          </w:p>
        </w:tc>
        <w:tc>
          <w:tcPr>
            <w:tcW w:w="5172" w:type="dxa"/>
          </w:tcPr>
          <w:p w:rsidR="00184F79" w:rsidRDefault="00184F79" w:rsidP="00E11871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  <w:r w:rsidRPr="00E11871">
              <w:rPr>
                <w:rFonts w:ascii="Sylfaen" w:hAnsi="Sylfaen"/>
                <w:color w:val="FF0000"/>
                <w:lang w:val="ka-GE"/>
              </w:rPr>
              <w:t xml:space="preserve">უნდა აკმაყოფილებდნენ ევროკანონმდებლობით დადგენილ მოთხოვნებს </w:t>
            </w:r>
            <w:r w:rsidRPr="00E11871">
              <w:rPr>
                <w:rFonts w:ascii="Sylfaen" w:hAnsi="Sylfaen"/>
                <w:b/>
                <w:color w:val="FF0000"/>
                <w:lang w:val="ka-GE"/>
              </w:rPr>
              <w:t>„კვალიფიციური პირის მიმართ“</w:t>
            </w:r>
            <w:r w:rsidRPr="00E11871">
              <w:rPr>
                <w:rFonts w:ascii="Sylfaen" w:hAnsi="Sylfaen"/>
                <w:color w:val="FF0000"/>
                <w:lang w:val="ka-GE"/>
              </w:rPr>
              <w:t xml:space="preserve"> (დირექტივის </w:t>
            </w:r>
            <w:r w:rsidRPr="00CF0113">
              <w:rPr>
                <w:rFonts w:ascii="Arial" w:eastAsia="Times New Roman" w:hAnsi="Arial" w:cs="Arial"/>
                <w:color w:val="FF0000"/>
                <w:sz w:val="23"/>
                <w:szCs w:val="23"/>
                <w:lang w:val="ka-GE"/>
              </w:rPr>
              <w:t xml:space="preserve"> 2001/83/EC</w:t>
            </w:r>
            <w:r w:rsidR="006F44BB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 48/49 -</w:t>
            </w:r>
            <w:r w:rsidR="00E11871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ე მუხლი) </w:t>
            </w:r>
            <w:r w:rsidRPr="00E11871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და იცნობდნენ სამკურნალო საშუალებების რეგისტრაციის და კონტროლის მოთხოვნებს.  </w:t>
            </w:r>
          </w:p>
          <w:p w:rsidR="00A57263" w:rsidRDefault="00A57263" w:rsidP="00E11871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</w:p>
          <w:p w:rsidR="00A57263" w:rsidRDefault="00A57263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lastRenderedPageBreak/>
              <w:t>ა) უმაღლესი განათლება (სავალდებულო საბაზისო დის</w:t>
            </w:r>
            <w:r w:rsidR="00117920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ც</w:t>
            </w:r>
            <w:r w:rsidR="009070A6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იპლინები)</w:t>
            </w: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;</w:t>
            </w:r>
          </w:p>
          <w:p w:rsidR="009070A6" w:rsidRDefault="009070A6" w:rsidP="009070A6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D53BD2">
              <w:rPr>
                <w:rFonts w:ascii="Sylfaen" w:hAnsi="Sylfaen"/>
                <w:b/>
                <w:lang w:val="ka-GE"/>
              </w:rPr>
              <w:t>უმაღლესი განათლება</w:t>
            </w:r>
            <w:r>
              <w:rPr>
                <w:rFonts w:ascii="Sylfaen" w:hAnsi="Sylfaen"/>
                <w:lang w:val="ka-GE"/>
              </w:rPr>
              <w:t xml:space="preserve"> (არანაკლებ ბაკალავრი) შემდეგ სფეროებში: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ფარმაცია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მედიცინა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ვეტერინარია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ქიმია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ფარმაცევტული ქიმია და ტექნოლოგია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ბიოლოგია</w:t>
            </w:r>
          </w:p>
          <w:p w:rsidR="009070A6" w:rsidRDefault="009070A6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</w:p>
          <w:p w:rsidR="009070A6" w:rsidRDefault="009070A6" w:rsidP="009070A6">
            <w:pPr>
              <w:pStyle w:val="ListParagraph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საგანმანათლებლო პროგრამის ფარგლებში მაძიებელს გავლილი უნდა ჰქონდეს თეორიული და პრაქტიკული მზადება სულ მცირე შემდეგ საბაზისო საგნებში: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ექსპერიმენტული ფიზიკა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ზოგადი და არაორგანული ქიმია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ორგანული ქიმია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ანალიზური ქიმია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ფარმაკოქია (რომელიც მოიცავს, ასევე, ფარმაცევტული პროდუქტების ანალიზურ ქიმიას)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ზოგადი და გამოყენებითი ბიოქიმია (სამედიცინო ბიოქიმია)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ფიზიოლოგია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მიკრობიოლოგია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ფარმაკოლოგია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ფარმაცევტული ტექნოლოგია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ტოქსიკოლოგია</w:t>
            </w:r>
          </w:p>
          <w:p w:rsidR="009070A6" w:rsidRDefault="009070A6" w:rsidP="009070A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ფარმაკოგნოზია</w:t>
            </w:r>
          </w:p>
          <w:p w:rsidR="009070A6" w:rsidRDefault="009070A6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</w:p>
          <w:p w:rsidR="00A57263" w:rsidRDefault="00A57263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ბ) ფარმაცევტულ საწარმოში მინიმუმ 2 წლიანი პრაქტიკული გამოცდილება</w:t>
            </w:r>
            <w:r w:rsidR="00A521B1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ფარმაცევტულ საწარმოში</w:t>
            </w: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, მიმართულება -   სამკურნალო საშუალებების</w:t>
            </w:r>
            <w:r w:rsidR="00632105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, წარმოება,</w:t>
            </w: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ხარისხის ანალიზი</w:t>
            </w:r>
            <w:r w:rsidR="006F44BB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-  თვისობრივი და რაოდენობრივი ანალიზი</w:t>
            </w:r>
            <w:r w:rsidR="00A521B1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; ასევევ </w:t>
            </w:r>
            <w:r w:rsidR="006F44BB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სხვა ტესტები</w:t>
            </w:r>
            <w:r w:rsidR="00A521B1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და შემოწმებები, რომლებიც აუცილებელია მედიკამენტების ხარისხის უზრუნველყოფის მიზნით</w:t>
            </w: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;</w:t>
            </w:r>
          </w:p>
          <w:p w:rsidR="006F44BB" w:rsidRDefault="006F44BB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</w:p>
          <w:p w:rsidR="005E2E54" w:rsidRDefault="005E2E54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5 წლიანი უმაღლესი განათლების შემთხვევაში </w:t>
            </w:r>
            <w:r w:rsidR="006F44BB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- </w:t>
            </w:r>
            <w:r w:rsidR="00FC70DA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არანაკლებ </w:t>
            </w:r>
            <w:r w:rsidR="006F44BB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1 წლიანი პრაქტიკული გამოცდილება,</w:t>
            </w: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იგივე მიმართულებით; </w:t>
            </w:r>
          </w:p>
          <w:p w:rsidR="006F44BB" w:rsidRDefault="005E2E54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ჯამურად, არანაკლებ 6 წლიანი უმაღლესი (უნივერსიტეტის შემდგომი  განათლების ჩათვლით) განათლების შემთხვევაში - არანაკლებ 6 თვიანი პრაქტიკული გამოცდილება,</w:t>
            </w:r>
            <w:r w:rsidR="000767C8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იგივე მიმართულებით. </w:t>
            </w:r>
          </w:p>
          <w:p w:rsidR="002531A4" w:rsidRDefault="002531A4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</w:p>
          <w:p w:rsidR="002531A4" w:rsidRDefault="002531A4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>ინსპექტირების საერთაშორისო ენის ცოდნა</w:t>
            </w:r>
            <w:r w:rsidR="008A79E8"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+ სპეციფიკური უნარ-ჩვევების გამომუშავების პოტენციალი (ფსიქოლოგიური ტესტი). </w:t>
            </w:r>
            <w: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  <w:t xml:space="preserve">  </w:t>
            </w:r>
          </w:p>
          <w:p w:rsidR="00A57263" w:rsidRPr="002531A4" w:rsidRDefault="00A57263" w:rsidP="00A57263">
            <w:pPr>
              <w:rPr>
                <w:rFonts w:ascii="Sylfaen" w:eastAsia="Times New Roman" w:hAnsi="Sylfaen" w:cs="Arial"/>
                <w:color w:val="FF0000"/>
                <w:sz w:val="23"/>
                <w:szCs w:val="23"/>
                <w:lang w:val="ka-GE"/>
              </w:rPr>
            </w:pPr>
          </w:p>
        </w:tc>
        <w:tc>
          <w:tcPr>
            <w:tcW w:w="4856" w:type="dxa"/>
          </w:tcPr>
          <w:p w:rsidR="00184F79" w:rsidRDefault="00E11871" w:rsidP="00D83757">
            <w:pPr>
              <w:rPr>
                <w:rFonts w:ascii="Sylfaen" w:hAnsi="Sylfaen"/>
                <w:lang w:val="ka-GE"/>
              </w:rPr>
            </w:pPr>
            <w:r w:rsidRPr="00E11871">
              <w:rPr>
                <w:rFonts w:ascii="Sylfaen" w:hAnsi="Sylfaen"/>
                <w:color w:val="FF0000"/>
                <w:lang w:val="ka-GE"/>
              </w:rPr>
              <w:lastRenderedPageBreak/>
              <w:t>კვალიფიკაცია - ეროვნული მოთხოვნების შესაბამისად</w:t>
            </w:r>
          </w:p>
        </w:tc>
      </w:tr>
      <w:tr w:rsidR="00184F79" w:rsidTr="00B66F44">
        <w:tc>
          <w:tcPr>
            <w:tcW w:w="2802" w:type="dxa"/>
          </w:tcPr>
          <w:p w:rsidR="00184F79" w:rsidRPr="004E5D7B" w:rsidRDefault="00184F79" w:rsidP="002531A4">
            <w:pPr>
              <w:rPr>
                <w:rFonts w:ascii="Sylfaen" w:hAnsi="Sylfaen"/>
                <w:b/>
                <w:lang w:val="ka-GE"/>
              </w:rPr>
            </w:pPr>
            <w:r w:rsidRPr="004E5D7B">
              <w:rPr>
                <w:rFonts w:ascii="Sylfaen" w:hAnsi="Sylfaen"/>
                <w:b/>
                <w:lang w:val="ka-GE"/>
              </w:rPr>
              <w:lastRenderedPageBreak/>
              <w:t>საბაზისო ტრენინგი</w:t>
            </w:r>
            <w:r>
              <w:rPr>
                <w:rFonts w:ascii="Sylfaen" w:hAnsi="Sylfaen"/>
                <w:b/>
                <w:lang w:val="ka-GE"/>
              </w:rPr>
              <w:t xml:space="preserve"> (რა ცოდნა უნდა გააჩნდეს ინსპექტორს, რათ</w:t>
            </w:r>
            <w:r w:rsidR="00175F74">
              <w:rPr>
                <w:rFonts w:ascii="Sylfaen" w:hAnsi="Sylfaen"/>
                <w:b/>
                <w:lang w:val="ka-GE"/>
              </w:rPr>
              <w:t xml:space="preserve">ა </w:t>
            </w:r>
            <w:r w:rsidR="002531A4">
              <w:rPr>
                <w:rFonts w:ascii="Sylfaen" w:hAnsi="Sylfaen"/>
                <w:b/>
                <w:lang w:val="ka-GE"/>
              </w:rPr>
              <w:t>დანიშნული</w:t>
            </w:r>
            <w:r>
              <w:rPr>
                <w:rFonts w:ascii="Sylfaen" w:hAnsi="Sylfaen"/>
                <w:b/>
                <w:lang w:val="ka-GE"/>
              </w:rPr>
              <w:t xml:space="preserve"> იქნას მარეგულირებელში </w:t>
            </w:r>
            <w:r w:rsidR="002531A4" w:rsidRPr="00F10971">
              <w:rPr>
                <w:rFonts w:ascii="Sylfaen" w:eastAsia="Times New Roman" w:hAnsi="Sylfaen" w:cs="Arial"/>
                <w:b/>
                <w:sz w:val="24"/>
                <w:szCs w:val="24"/>
                <w:lang w:val="ka-GE"/>
              </w:rPr>
              <w:t>GMP</w:t>
            </w:r>
            <w:r w:rsidR="002531A4">
              <w:rPr>
                <w:rFonts w:ascii="Sylfaen" w:eastAsia="Times New Roman" w:hAnsi="Sylfaen" w:cs="Arial"/>
                <w:b/>
                <w:sz w:val="24"/>
                <w:szCs w:val="24"/>
              </w:rPr>
              <w:t>/GDP</w:t>
            </w:r>
            <w:r w:rsidR="002531A4" w:rsidRPr="00F10971">
              <w:rPr>
                <w:rFonts w:ascii="Sylfaen" w:eastAsia="Times New Roman" w:hAnsi="Sylfaen" w:cs="Arial"/>
                <w:b/>
                <w:sz w:val="23"/>
                <w:szCs w:val="23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ინსპექტორად)</w:t>
            </w:r>
            <w:r w:rsidRPr="004E5D7B">
              <w:rPr>
                <w:rFonts w:ascii="Sylfaen" w:hAnsi="Sylfaen"/>
                <w:b/>
                <w:lang w:val="ka-GE"/>
              </w:rPr>
              <w:t xml:space="preserve">: </w:t>
            </w:r>
          </w:p>
        </w:tc>
        <w:tc>
          <w:tcPr>
            <w:tcW w:w="5172" w:type="dxa"/>
          </w:tcPr>
          <w:p w:rsidR="00184F79" w:rsidRDefault="00B011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</w:t>
            </w:r>
            <w:r w:rsidR="00D57ED9">
              <w:rPr>
                <w:rFonts w:ascii="Sylfaen" w:hAnsi="Sylfaen"/>
                <w:lang w:val="ka-GE"/>
              </w:rPr>
              <w:t xml:space="preserve">ფარმაცევტული </w:t>
            </w:r>
            <w:r w:rsidR="00184F79">
              <w:rPr>
                <w:rFonts w:ascii="Sylfaen" w:hAnsi="Sylfaen"/>
                <w:lang w:val="ka-GE"/>
              </w:rPr>
              <w:t xml:space="preserve">კანონმდებლობა; </w:t>
            </w:r>
          </w:p>
          <w:p w:rsidR="00184F79" w:rsidRDefault="00B0117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2. </w:t>
            </w:r>
            <w:r w:rsidR="00184F79" w:rsidRPr="00654CB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GMP</w:t>
            </w:r>
            <w:r w:rsidR="00184F79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/</w:t>
            </w:r>
            <w:r w:rsidR="00184F79" w:rsidRPr="00654CB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 GDP</w:t>
            </w: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 - თანაბრად</w:t>
            </w:r>
            <w:r w:rsidR="00184F79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; </w:t>
            </w:r>
          </w:p>
          <w:p w:rsidR="008A1968" w:rsidRDefault="008A1968" w:rsidP="004E5D7B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8A1968" w:rsidRDefault="008A1968" w:rsidP="004E5D7B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184F79" w:rsidRDefault="00B01174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3.</w:t>
            </w:r>
            <w:r w:rsidR="00184F79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ხარისხის უზრუნველყოფის და ხარისხის მართ</w:t>
            </w:r>
            <w:r w:rsidR="00175F74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ვ</w:t>
            </w:r>
            <w:r w:rsidR="00184F79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ის სისტემები </w:t>
            </w:r>
            <w:r w:rsidR="00184F79" w:rsidRPr="004E5D7B">
              <w:rPr>
                <w:rFonts w:ascii="Arial" w:eastAsia="Times New Roman" w:hAnsi="Arial" w:cs="Arial"/>
                <w:sz w:val="23"/>
                <w:szCs w:val="23"/>
                <w:lang w:val="ka-GE"/>
              </w:rPr>
              <w:t>(ISO 9000:2000)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;</w:t>
            </w:r>
          </w:p>
          <w:p w:rsidR="00D57ED9" w:rsidRPr="004E5D7B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B01174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lastRenderedPageBreak/>
              <w:t>4.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სამკურნალო საშუალებების და აფი წარმოების ტექნიკური ასპექტები (ტექნოლოგიები, პროცესები და სავენტილაციო სისტემები, ვალიდაცია, კომპიუტერიზირებული სისტემები, ანალიზური</w:t>
            </w:r>
            <w:r w:rsidR="00175F7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ინსტრუ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მენტები</w:t>
            </w:r>
            <w:r w:rsidR="00175F7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და მეთოდები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, მიკრობიოლოგია);</w:t>
            </w:r>
          </w:p>
          <w:p w:rsidR="00D57ED9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D57ED9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B01174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5.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მედიკამენტების რეგისტრაციის და წარმოების ლიცენზირების სისტემები და მათი ურთიერთკავშირი; </w:t>
            </w:r>
          </w:p>
          <w:p w:rsidR="00D57ED9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D0484D" w:rsidRDefault="00D0484D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B01174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6. 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ლიცენზირება/ინსპექტირება/სინჯების აღება და ანალ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ზის ურთიერთკავშირი;</w:t>
            </w:r>
          </w:p>
          <w:p w:rsidR="00D57ED9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B01174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7. 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კომერციული ორგანიზაციების სტრუქტ</w:t>
            </w:r>
            <w:r w:rsidR="002531A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უ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რა და ოპერირების პრინციპები; </w:t>
            </w:r>
          </w:p>
          <w:p w:rsidR="00D57ED9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D0484D" w:rsidRDefault="00D0484D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D0484D" w:rsidRDefault="00D0484D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B01174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8. 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ინსპექტირების ტექნიკა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  <w:r w:rsidR="002531A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- 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ქცევის წესების, ფსიქოლოგიური ასპექტების ჩათვლით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-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აღნიშნული 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ცოდნ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ის დაუფლებისათვის საჭიროა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სპეციალური კურსების</w:t>
            </w:r>
            <w:r w:rsidR="00A64056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გავლა</w:t>
            </w:r>
            <w:r w:rsidR="00A64056" w:rsidRPr="00A6150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  <w:r w:rsidR="0000688C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და/ან 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კვალიფიციური </w:t>
            </w:r>
            <w:r w:rsidR="00BE44CF" w:rsidRPr="00A6150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GMP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ინსპექტორების მიერ ჩატარებულ ინსპექციებში მონაწილეობ</w:t>
            </w:r>
            <w:r w:rsidR="0000688C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ა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; </w:t>
            </w:r>
          </w:p>
          <w:p w:rsidR="00D57ED9" w:rsidRPr="00A61504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BE44CF" w:rsidRPr="00A61504" w:rsidRDefault="00BE44CF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184F7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lastRenderedPageBreak/>
              <w:t>ადმინისტრ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ა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ციული </w:t>
            </w:r>
            <w:r w:rsidR="001450F5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პროცედურების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ცოდნა</w:t>
            </w:r>
            <w:r w:rsidR="001450F5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, რომელიც აუცილებელია ინსპექციის მართვისათ</w:t>
            </w:r>
            <w:r w:rsidR="002531A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ვ</w:t>
            </w:r>
            <w:r w:rsidR="001450F5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ის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: დაგეგმარება, ორგანიზება, კომუნიკაცია და შეფასება, შედეგების მიწოდება შ</w:t>
            </w:r>
            <w:r w:rsidR="008273BA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ე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მოწმებული სუბიექტისთ</w:t>
            </w:r>
            <w:r w:rsidR="008273BA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ვ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ის; </w:t>
            </w:r>
          </w:p>
          <w:p w:rsidR="00D57ED9" w:rsidRDefault="00D57ED9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B01174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ხარვეზების</w:t>
            </w:r>
            <w:r w:rsidR="001450F5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/შეუსაბამობების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ადეკვატური შეფასე</w:t>
            </w:r>
            <w:r w:rsidR="008273BA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ბ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ის და დაოქმების უნარი</w:t>
            </w:r>
            <w:r w:rsidR="002531A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- რაც პირდაპირ დამოკიდებულია სხვდასხვა მიმართულებით მიღებულ განათლებაზე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; </w:t>
            </w:r>
          </w:p>
          <w:p w:rsidR="001450F5" w:rsidRDefault="001450F5" w:rsidP="004E5D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Default="00B01174" w:rsidP="00114A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9. 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გაიდლაინები: „ფარმაცევტული შემუშავება“, „ხარისხის რისკის მართვა“, „ფარმაცევტული ხარისხის სისტემა“ (</w:t>
            </w:r>
            <w:r w:rsidR="00184F79" w:rsidRPr="00114A7B">
              <w:rPr>
                <w:rFonts w:ascii="Arial" w:eastAsia="Times New Roman" w:hAnsi="Arial" w:cs="Arial"/>
                <w:sz w:val="23"/>
                <w:szCs w:val="23"/>
                <w:lang w:val="ka-GE"/>
              </w:rPr>
              <w:t>ICH Q8, Q9, Q10</w:t>
            </w:r>
            <w:r w:rsidR="00184F79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გაიდლაინების ჩათვლით) </w:t>
            </w:r>
          </w:p>
          <w:p w:rsidR="00184F79" w:rsidRDefault="00184F79" w:rsidP="00114A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 w:rsidRPr="00114A7B">
              <w:rPr>
                <w:rFonts w:ascii="Arial" w:eastAsia="Times New Roman" w:hAnsi="Arial" w:cs="Arial"/>
                <w:sz w:val="23"/>
                <w:szCs w:val="23"/>
                <w:lang w:val="ka-GE"/>
              </w:rPr>
              <w:t>EDQM, ICH, PIC/S, WHO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-ის</w:t>
            </w:r>
            <w:r w:rsidR="00B0117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რელევანტური დოკუმენტების ცოდნა.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</w:p>
          <w:p w:rsidR="00184F79" w:rsidRPr="00114A7B" w:rsidRDefault="00184F79" w:rsidP="00114A7B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184F79" w:rsidRPr="00114A7B" w:rsidRDefault="00B01174" w:rsidP="00114A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**********</w:t>
            </w:r>
          </w:p>
        </w:tc>
        <w:tc>
          <w:tcPr>
            <w:tcW w:w="4856" w:type="dxa"/>
          </w:tcPr>
          <w:p w:rsidR="00D57ED9" w:rsidRDefault="00B011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1.</w:t>
            </w:r>
            <w:r w:rsidR="00D57ED9">
              <w:rPr>
                <w:rFonts w:ascii="Sylfaen" w:hAnsi="Sylfaen"/>
                <w:lang w:val="ka-GE"/>
              </w:rPr>
              <w:t xml:space="preserve">შესაბამისი კანონმდებლობა; </w:t>
            </w:r>
          </w:p>
          <w:p w:rsidR="00184F79" w:rsidRDefault="00B0117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2.1.</w:t>
            </w:r>
            <w:r w:rsidR="00D57ED9" w:rsidRPr="00654CB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GDP</w:t>
            </w:r>
            <w:r w:rsidR="00D57ED9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; </w:t>
            </w:r>
          </w:p>
          <w:p w:rsidR="00D57ED9" w:rsidRDefault="00B0117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2.2. </w:t>
            </w:r>
            <w:r w:rsidR="00D57ED9" w:rsidRPr="00654CBE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GMP</w:t>
            </w:r>
            <w:r w:rsidR="00D57ED9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 - საფუძვლები;</w:t>
            </w:r>
          </w:p>
          <w:p w:rsidR="008A1968" w:rsidRDefault="008A1968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D57ED9" w:rsidRDefault="00B0117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3.</w:t>
            </w:r>
            <w:r w:rsidR="00D57ED9"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ხარისხის მართვის სისტემების ზოგადი პრინციპები; </w:t>
            </w:r>
          </w:p>
          <w:p w:rsidR="00B01174" w:rsidRDefault="00B0117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B01174" w:rsidRDefault="00B0117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B01174" w:rsidRDefault="00B0117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>******</w:t>
            </w:r>
          </w:p>
          <w:p w:rsidR="00583F26" w:rsidRDefault="002531A4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ka-GE"/>
              </w:rPr>
              <w:t xml:space="preserve"> </w:t>
            </w:r>
          </w:p>
          <w:p w:rsidR="00583F26" w:rsidRDefault="00583F26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583F26" w:rsidRDefault="00583F26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583F26" w:rsidRDefault="00583F26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583F26" w:rsidRDefault="00583F26">
            <w:pPr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</w:p>
          <w:p w:rsidR="002531A4" w:rsidRDefault="002531A4" w:rsidP="00583F26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B01174" w:rsidRDefault="00B01174" w:rsidP="00583F26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583F26" w:rsidRDefault="00B01174" w:rsidP="00583F26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4.</w:t>
            </w:r>
            <w:r w:rsidR="00583F26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მედიკამენტების რეგისტრაციის, წარმოების და საბითუმო დისტრიბუციის ლიცენზირების სისტემები და მათი ურთიერთკავშირი; </w:t>
            </w:r>
          </w:p>
          <w:p w:rsidR="00583F26" w:rsidRDefault="00583F26">
            <w:pPr>
              <w:rPr>
                <w:rFonts w:ascii="Sylfaen" w:hAnsi="Sylfaen"/>
                <w:lang w:val="ka-GE"/>
              </w:rPr>
            </w:pPr>
          </w:p>
          <w:p w:rsidR="00D0484D" w:rsidRDefault="00B01174" w:rsidP="00D0484D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5.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ლიცენზირება/ინსპექტირება/სინჯების აღება და ანალიზის ურთიერთკავშირი;</w:t>
            </w:r>
          </w:p>
          <w:p w:rsidR="00583F26" w:rsidRDefault="00583F26">
            <w:pPr>
              <w:rPr>
                <w:rFonts w:ascii="Sylfaen" w:hAnsi="Sylfaen"/>
                <w:lang w:val="ka-GE"/>
              </w:rPr>
            </w:pPr>
          </w:p>
          <w:p w:rsidR="00D0484D" w:rsidRDefault="00B01174" w:rsidP="00D048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6. </w:t>
            </w:r>
            <w:r w:rsidR="00D0484D">
              <w:rPr>
                <w:rFonts w:ascii="Sylfaen" w:hAnsi="Sylfaen"/>
                <w:lang w:val="ka-GE"/>
              </w:rPr>
              <w:t>საბითუმო რეალიზაციის პრინციპების ცოდნა, თითოეული მოთამაშის როლი მომარაგების  ჯაჭვში</w:t>
            </w:r>
            <w:r w:rsidR="002531A4">
              <w:rPr>
                <w:rFonts w:ascii="Sylfaen" w:hAnsi="Sylfaen"/>
                <w:lang w:val="ka-GE"/>
              </w:rPr>
              <w:t>;</w:t>
            </w:r>
          </w:p>
          <w:p w:rsidR="00D0484D" w:rsidRDefault="00D0484D" w:rsidP="00D0484D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D0484D" w:rsidRDefault="00D0484D" w:rsidP="00D0484D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D0484D" w:rsidRDefault="00B01174" w:rsidP="00D0484D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7. </w:t>
            </w:r>
            <w:r w:rsidR="002531A4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ინსპექტირების ტექნიკა -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ინსპექციის  დაგეგმარების, ორგანიზების, კომუნიკაციის,  </w:t>
            </w:r>
            <w:r w:rsidR="001450F5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დადგენილი </w:t>
            </w:r>
            <w:r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ხარვეზების</w:t>
            </w:r>
            <w:r w:rsidR="001450F5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/შეუსაბამობების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შეფასების და დაოქმების, შემოწმებული სუბიექტისთვის შედეგების შესახებ ინფორმაციის მიწოდების უნარის ჩათვლით.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ამ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ცოდნ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ის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დაუფლება შესაძლებელია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ან სპეციალური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lastRenderedPageBreak/>
              <w:t xml:space="preserve">კურსების </w:t>
            </w:r>
            <w:r w:rsidR="0000688C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ან უფროსი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ინსპექტორების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  <w:r w:rsidR="0000688C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მონაწილეობით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  <w:r w:rsidR="0000688C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/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ხელმძღვანელობით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 ჩატარებულ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ი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ინსპექციები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ს </w:t>
            </w:r>
            <w:r w:rsidR="00D0484D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 xml:space="preserve"> </w:t>
            </w:r>
            <w:r w:rsidR="00BE44CF">
              <w:rPr>
                <w:rFonts w:ascii="Sylfaen" w:eastAsia="Times New Roman" w:hAnsi="Sylfaen" w:cs="Arial"/>
                <w:sz w:val="23"/>
                <w:szCs w:val="23"/>
                <w:lang w:val="ka-GE"/>
              </w:rPr>
              <w:t>პროცესში.</w:t>
            </w:r>
          </w:p>
          <w:p w:rsidR="00D0484D" w:rsidRDefault="00D0484D" w:rsidP="00D0484D">
            <w:pPr>
              <w:rPr>
                <w:rFonts w:ascii="Sylfaen" w:eastAsia="Times New Roman" w:hAnsi="Sylfaen" w:cs="Arial"/>
                <w:sz w:val="23"/>
                <w:szCs w:val="23"/>
                <w:lang w:val="ka-GE"/>
              </w:rPr>
            </w:pPr>
          </w:p>
          <w:p w:rsidR="00D0484D" w:rsidRDefault="00D0484D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B01174" w:rsidRDefault="00B01174" w:rsidP="00D0484D">
            <w:pPr>
              <w:rPr>
                <w:rFonts w:ascii="Sylfaen" w:hAnsi="Sylfaen"/>
                <w:lang w:val="ka-GE"/>
              </w:rPr>
            </w:pPr>
          </w:p>
          <w:p w:rsidR="00B01174" w:rsidRDefault="00B01174" w:rsidP="00D0484D">
            <w:pPr>
              <w:rPr>
                <w:rFonts w:ascii="Sylfaen" w:hAnsi="Sylfaen"/>
                <w:lang w:val="ka-GE"/>
              </w:rPr>
            </w:pPr>
          </w:p>
          <w:p w:rsidR="00B01174" w:rsidRDefault="00B01174" w:rsidP="00D0484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*******</w:t>
            </w:r>
          </w:p>
          <w:p w:rsidR="00B01174" w:rsidRDefault="00B01174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D0484D">
            <w:pPr>
              <w:rPr>
                <w:rFonts w:ascii="Sylfaen" w:hAnsi="Sylfaen"/>
                <w:lang w:val="ka-GE"/>
              </w:rPr>
            </w:pPr>
          </w:p>
          <w:p w:rsidR="00B01174" w:rsidRDefault="00B01174" w:rsidP="00B01174">
            <w:pPr>
              <w:rPr>
                <w:rFonts w:ascii="Sylfaen" w:hAnsi="Sylfaen"/>
                <w:lang w:val="ka-GE"/>
              </w:rPr>
            </w:pPr>
          </w:p>
          <w:p w:rsidR="00B01174" w:rsidRDefault="00B01174" w:rsidP="00B01174">
            <w:pPr>
              <w:rPr>
                <w:rFonts w:ascii="Sylfaen" w:hAnsi="Sylfaen"/>
                <w:lang w:val="ka-GE"/>
              </w:rPr>
            </w:pPr>
          </w:p>
          <w:p w:rsidR="001450F5" w:rsidRDefault="00B01174" w:rsidP="00B011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8. </w:t>
            </w:r>
            <w:r w:rsidR="001450F5">
              <w:rPr>
                <w:rFonts w:ascii="Sylfaen" w:hAnsi="Sylfaen"/>
                <w:lang w:val="ka-GE"/>
              </w:rPr>
              <w:t>მედიკამენტების ფალსიფიცირების  ტრენდები</w:t>
            </w:r>
            <w:r>
              <w:rPr>
                <w:rFonts w:ascii="Sylfaen" w:hAnsi="Sylfaen"/>
                <w:lang w:val="ka-GE"/>
              </w:rPr>
              <w:t>ს</w:t>
            </w:r>
            <w:r w:rsidR="001450F5">
              <w:rPr>
                <w:rFonts w:ascii="Sylfaen" w:hAnsi="Sylfaen"/>
                <w:lang w:val="ka-GE"/>
              </w:rPr>
              <w:t xml:space="preserve"> ცოდნა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184F79" w:rsidTr="00B66F44">
        <w:tc>
          <w:tcPr>
            <w:tcW w:w="2802" w:type="dxa"/>
          </w:tcPr>
          <w:p w:rsidR="00184F79" w:rsidRDefault="00184F79" w:rsidP="00B01174">
            <w:pPr>
              <w:rPr>
                <w:rFonts w:ascii="Sylfaen" w:hAnsi="Sylfaen"/>
                <w:lang w:val="ka-GE"/>
              </w:rPr>
            </w:pPr>
            <w:r w:rsidRPr="00114A7B">
              <w:rPr>
                <w:rFonts w:ascii="Sylfaen" w:hAnsi="Sylfaen"/>
                <w:b/>
                <w:lang w:val="ka-GE"/>
              </w:rPr>
              <w:lastRenderedPageBreak/>
              <w:t>მომდევნო ტრენინგი</w:t>
            </w:r>
            <w:r>
              <w:rPr>
                <w:rFonts w:ascii="Sylfaen" w:hAnsi="Sylfaen"/>
                <w:lang w:val="ka-GE"/>
              </w:rPr>
              <w:t xml:space="preserve"> (</w:t>
            </w:r>
            <w:r w:rsidR="00B01174">
              <w:rPr>
                <w:rFonts w:ascii="Sylfaen" w:hAnsi="Sylfaen"/>
                <w:lang w:val="ka-GE"/>
              </w:rPr>
              <w:t>ახალი ინსპექტორის სტატუსში)</w:t>
            </w:r>
          </w:p>
        </w:tc>
        <w:tc>
          <w:tcPr>
            <w:tcW w:w="5172" w:type="dxa"/>
          </w:tcPr>
          <w:p w:rsidR="00184F79" w:rsidRDefault="00184F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ახალ ინსპექტორს აქვს ინსპექტირებაში  მხოლოდ დამკვირვებლის სტატუსით </w:t>
            </w:r>
            <w:r w:rsidR="00B01174">
              <w:rPr>
                <w:rFonts w:ascii="Sylfaen" w:hAnsi="Sylfaen"/>
                <w:lang w:val="ka-GE"/>
              </w:rPr>
              <w:t>მონაწილეობი</w:t>
            </w:r>
            <w:r>
              <w:rPr>
                <w:rFonts w:ascii="Sylfaen" w:hAnsi="Sylfaen"/>
                <w:lang w:val="ka-GE"/>
              </w:rPr>
              <w:t xml:space="preserve">ს უფლება, მის შემდგომ პრაქტიკულ მომზადებას უზრუნველყოფს გამოცდილი უფროსი ინსპექტორი; </w:t>
            </w:r>
          </w:p>
          <w:p w:rsidR="00184F79" w:rsidRDefault="00184F79">
            <w:pPr>
              <w:rPr>
                <w:rFonts w:ascii="Sylfaen" w:hAnsi="Sylfaen"/>
                <w:lang w:val="ka-GE"/>
              </w:rPr>
            </w:pPr>
          </w:p>
          <w:p w:rsidR="00184F79" w:rsidRDefault="00184F79" w:rsidP="00114A7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დამატებითი ტრენინგები: ინსპექტირების ტექნიკა და კომუნიკაცია; ოქმების შედგენა, ინგლისური ენა; საკანონმდებლო ბაზის გაღრმავება და მართვის სისტემები. </w:t>
            </w:r>
          </w:p>
          <w:p w:rsidR="00184F79" w:rsidRDefault="00184F79" w:rsidP="00114A7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856" w:type="dxa"/>
          </w:tcPr>
          <w:p w:rsidR="001450F5" w:rsidRDefault="001450F5" w:rsidP="001450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ახალ ინსპექტორს აქვს ინსპექტირებაში  მხოლოდ დამკვირვებლის სტატუსით </w:t>
            </w:r>
            <w:r w:rsidR="00B01174">
              <w:rPr>
                <w:rFonts w:ascii="Sylfaen" w:hAnsi="Sylfaen"/>
                <w:lang w:val="ka-GE"/>
              </w:rPr>
              <w:t>მონაწილეობი</w:t>
            </w:r>
            <w:r>
              <w:rPr>
                <w:rFonts w:ascii="Sylfaen" w:hAnsi="Sylfaen"/>
                <w:lang w:val="ka-GE"/>
              </w:rPr>
              <w:t xml:space="preserve">ს უფლება, მის შემდგომ პრაქტიკულ მომზადებას უზრუნველყოფს გამოცდილი უფროსი ინსპექტორი; </w:t>
            </w:r>
          </w:p>
          <w:p w:rsidR="00184F79" w:rsidRDefault="00184F79">
            <w:pPr>
              <w:rPr>
                <w:rFonts w:ascii="Sylfaen" w:hAnsi="Sylfaen"/>
                <w:lang w:val="ka-GE"/>
              </w:rPr>
            </w:pPr>
          </w:p>
          <w:p w:rsidR="001450F5" w:rsidRDefault="001450F5" w:rsidP="001450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დამატებითი ტრენინგები: აუდიტის ტექნიკა და კომუნიკაცია; ოქმების შედგენა, ინგლისური ენა; საკანონმდებლო ბაზის გაღრმავება და მართვის სისტემები. </w:t>
            </w:r>
          </w:p>
          <w:p w:rsidR="001450F5" w:rsidRDefault="001450F5">
            <w:pPr>
              <w:rPr>
                <w:rFonts w:ascii="Sylfaen" w:hAnsi="Sylfaen"/>
                <w:lang w:val="ka-GE"/>
              </w:rPr>
            </w:pPr>
          </w:p>
        </w:tc>
      </w:tr>
      <w:tr w:rsidR="00184F79" w:rsidTr="00B66F44">
        <w:tc>
          <w:tcPr>
            <w:tcW w:w="2802" w:type="dxa"/>
          </w:tcPr>
          <w:p w:rsidR="00184F79" w:rsidRPr="00375A48" w:rsidRDefault="00184F79">
            <w:pPr>
              <w:rPr>
                <w:rFonts w:ascii="Sylfaen" w:hAnsi="Sylfaen"/>
                <w:b/>
                <w:lang w:val="ka-GE"/>
              </w:rPr>
            </w:pPr>
            <w:r w:rsidRPr="00375A48">
              <w:rPr>
                <w:rFonts w:ascii="Sylfaen" w:hAnsi="Sylfaen"/>
                <w:b/>
                <w:lang w:val="ka-GE"/>
              </w:rPr>
              <w:lastRenderedPageBreak/>
              <w:t>უწყვეტი განათლების სისტემა</w:t>
            </w:r>
            <w:r w:rsidR="00B01174">
              <w:rPr>
                <w:rFonts w:ascii="Sylfaen" w:hAnsi="Sylfaen"/>
                <w:b/>
                <w:lang w:val="ka-GE"/>
              </w:rPr>
              <w:t xml:space="preserve"> - ყველა ინსპექტორისთვის</w:t>
            </w:r>
          </w:p>
        </w:tc>
        <w:tc>
          <w:tcPr>
            <w:tcW w:w="5172" w:type="dxa"/>
          </w:tcPr>
          <w:p w:rsidR="00184F79" w:rsidRDefault="00B011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ინსპექტორები</w:t>
            </w:r>
            <w:r w:rsidR="00184F79">
              <w:rPr>
                <w:rFonts w:ascii="Sylfaen" w:hAnsi="Sylfaen"/>
                <w:lang w:val="ka-GE"/>
              </w:rPr>
              <w:t xml:space="preserve"> ჩართული უნდა იყვნენ უწყვეტი განათლების სისტემაში, წლის განმავლობაში სატრენინგო დღეების რაოდენობა უნდა იყოს ადეკვატური</w:t>
            </w:r>
            <w:r w:rsidR="001450F5">
              <w:rPr>
                <w:rFonts w:ascii="Sylfaen" w:hAnsi="Sylfaen"/>
                <w:lang w:val="ka-GE"/>
              </w:rPr>
              <w:t xml:space="preserve"> (</w:t>
            </w:r>
            <w:r w:rsidR="00184F79">
              <w:rPr>
                <w:rFonts w:ascii="Sylfaen" w:hAnsi="Sylfaen"/>
                <w:lang w:val="ka-GE"/>
              </w:rPr>
              <w:t>თითოეული სემინარი, კურსი, კონფერენცია, სამეცნიერო შეხვედრა თუ სხვა ფორმატით გავლილი მომზადება უნდა იყოს დოკუმენტირებული და მომზადების ეფექტიანობა რეგულარულად შემოწმებული</w:t>
            </w:r>
            <w:r>
              <w:rPr>
                <w:rFonts w:ascii="Sylfaen" w:hAnsi="Sylfaen"/>
                <w:lang w:val="ka-GE"/>
              </w:rPr>
              <w:t>/დოკუმენტირებული</w:t>
            </w:r>
            <w:r w:rsidR="001450F5">
              <w:rPr>
                <w:rFonts w:ascii="Sylfaen" w:hAnsi="Sylfaen"/>
                <w:lang w:val="ka-GE"/>
              </w:rPr>
              <w:t>)</w:t>
            </w:r>
            <w:r w:rsidR="00184F79">
              <w:rPr>
                <w:rFonts w:ascii="Sylfaen" w:hAnsi="Sylfaen"/>
                <w:lang w:val="ka-GE"/>
              </w:rPr>
              <w:t xml:space="preserve">; </w:t>
            </w:r>
          </w:p>
          <w:p w:rsidR="00184F79" w:rsidRDefault="00184F79" w:rsidP="00344E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ტრენინგები უნდა ეხებოდეს სხვადასხვა მიმართულებებს, მინიმალური ჯამური ხანგრძლივობა: წელიწადში არანაკლებ 10 დღე, მინიმუმ 2 ტრენინგი  -  საერთაშორისო ფორმატში. </w:t>
            </w:r>
          </w:p>
          <w:p w:rsidR="00BB549E" w:rsidRDefault="00BB549E" w:rsidP="00344EF0">
            <w:pPr>
              <w:rPr>
                <w:rFonts w:ascii="Sylfaen" w:hAnsi="Sylfaen"/>
                <w:lang w:val="ka-GE"/>
              </w:rPr>
            </w:pPr>
          </w:p>
          <w:p w:rsidR="00BB549E" w:rsidRDefault="00BB549E" w:rsidP="00344EF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სატრენინგო რესურსები უნდა იყოს უზრუნველყოფილი მარეგულირებლის მიერ. </w:t>
            </w:r>
          </w:p>
          <w:p w:rsidR="00184F79" w:rsidRDefault="00184F79" w:rsidP="00344EF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856" w:type="dxa"/>
          </w:tcPr>
          <w:p w:rsidR="001450F5" w:rsidRDefault="00B01174" w:rsidP="001450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ინსპექტორები</w:t>
            </w:r>
            <w:r w:rsidR="001450F5">
              <w:rPr>
                <w:rFonts w:ascii="Sylfaen" w:hAnsi="Sylfaen"/>
                <w:lang w:val="ka-GE"/>
              </w:rPr>
              <w:t xml:space="preserve"> ჩართული უნდა იყვნენ უწყვეტი განათლების სისტემაში, წლის განმავლობაში სატრენინგო დღეების რაოდენობა </w:t>
            </w:r>
            <w:r>
              <w:rPr>
                <w:rFonts w:ascii="Sylfaen" w:hAnsi="Sylfaen"/>
                <w:lang w:val="ka-GE"/>
              </w:rPr>
              <w:t xml:space="preserve"> უნდა იყოს ადეკვატური, მომზადების ეფექტიანობა საჭიროებს შეფასებას და დოკუმენტირებას</w:t>
            </w:r>
          </w:p>
          <w:p w:rsidR="00184F79" w:rsidRDefault="001450F5" w:rsidP="001450F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ტრენინგები უნდა ეხებოდეს </w:t>
            </w:r>
            <w:r>
              <w:rPr>
                <w:rFonts w:ascii="Sylfaen" w:hAnsi="Sylfaen"/>
              </w:rPr>
              <w:t xml:space="preserve">GDP </w:t>
            </w:r>
            <w:r>
              <w:rPr>
                <w:rFonts w:ascii="Sylfaen" w:hAnsi="Sylfaen"/>
                <w:lang w:val="ka-GE"/>
              </w:rPr>
              <w:t xml:space="preserve">ასპექტებს, მინიმალური ჯამური ხანგრძლივობა: წელიწადში არანაკლებ 5 დღე, სასურველია გათვალისიწნებული იყოს საერთაშორისო ფორმატი.  </w:t>
            </w:r>
          </w:p>
          <w:p w:rsidR="009975EE" w:rsidRDefault="009975EE" w:rsidP="001450F5">
            <w:pPr>
              <w:rPr>
                <w:rFonts w:ascii="Sylfaen" w:hAnsi="Sylfaen"/>
                <w:lang w:val="ka-GE"/>
              </w:rPr>
            </w:pPr>
          </w:p>
          <w:p w:rsidR="009975EE" w:rsidRDefault="009975EE" w:rsidP="001450F5">
            <w:pPr>
              <w:rPr>
                <w:rFonts w:ascii="Sylfaen" w:hAnsi="Sylfaen"/>
                <w:lang w:val="ka-GE"/>
              </w:rPr>
            </w:pPr>
          </w:p>
          <w:p w:rsidR="009975EE" w:rsidRDefault="009975EE" w:rsidP="001450F5">
            <w:pPr>
              <w:rPr>
                <w:rFonts w:ascii="Sylfaen" w:hAnsi="Sylfaen"/>
                <w:lang w:val="ka-GE"/>
              </w:rPr>
            </w:pPr>
          </w:p>
          <w:p w:rsidR="009975EE" w:rsidRDefault="009975EE" w:rsidP="001450F5">
            <w:pPr>
              <w:rPr>
                <w:rFonts w:ascii="Sylfaen" w:hAnsi="Sylfaen"/>
                <w:lang w:val="ka-GE"/>
              </w:rPr>
            </w:pPr>
          </w:p>
          <w:p w:rsidR="009975EE" w:rsidRDefault="009975EE" w:rsidP="009975E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სატრენინგო რესურსები უნდა იყოს უზრუნველყოფილი მარეგულირებლის მიერ. </w:t>
            </w:r>
          </w:p>
          <w:p w:rsidR="009975EE" w:rsidRDefault="009975EE" w:rsidP="001450F5">
            <w:pPr>
              <w:rPr>
                <w:rFonts w:ascii="Sylfaen" w:hAnsi="Sylfaen"/>
                <w:lang w:val="ka-GE"/>
              </w:rPr>
            </w:pPr>
          </w:p>
        </w:tc>
      </w:tr>
    </w:tbl>
    <w:p w:rsidR="002045CF" w:rsidRPr="002045CF" w:rsidRDefault="002045CF">
      <w:pPr>
        <w:rPr>
          <w:rFonts w:ascii="Sylfaen" w:hAnsi="Sylfaen"/>
          <w:lang w:val="ka-GE"/>
        </w:rPr>
      </w:pPr>
    </w:p>
    <w:sectPr w:rsidR="002045CF" w:rsidRPr="002045CF" w:rsidSect="002045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076B8"/>
    <w:multiLevelType w:val="hybridMultilevel"/>
    <w:tmpl w:val="A4027C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DB7ED5"/>
    <w:multiLevelType w:val="hybridMultilevel"/>
    <w:tmpl w:val="CC36E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689A"/>
    <w:multiLevelType w:val="hybridMultilevel"/>
    <w:tmpl w:val="377E39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22"/>
    <w:rsid w:val="0000688C"/>
    <w:rsid w:val="0007613C"/>
    <w:rsid w:val="000767C8"/>
    <w:rsid w:val="00114A7B"/>
    <w:rsid w:val="00117920"/>
    <w:rsid w:val="001450F5"/>
    <w:rsid w:val="00175F74"/>
    <w:rsid w:val="00184F79"/>
    <w:rsid w:val="002045CF"/>
    <w:rsid w:val="002531A4"/>
    <w:rsid w:val="00340222"/>
    <w:rsid w:val="00344EF0"/>
    <w:rsid w:val="00371BD0"/>
    <w:rsid w:val="00375A48"/>
    <w:rsid w:val="003805B7"/>
    <w:rsid w:val="003840D6"/>
    <w:rsid w:val="004544DD"/>
    <w:rsid w:val="00491C54"/>
    <w:rsid w:val="004E5D7B"/>
    <w:rsid w:val="00583F26"/>
    <w:rsid w:val="0059364A"/>
    <w:rsid w:val="005E2E54"/>
    <w:rsid w:val="00623DC6"/>
    <w:rsid w:val="00632105"/>
    <w:rsid w:val="00654CBE"/>
    <w:rsid w:val="00657FBC"/>
    <w:rsid w:val="006945C5"/>
    <w:rsid w:val="006F44BB"/>
    <w:rsid w:val="008273BA"/>
    <w:rsid w:val="008A1968"/>
    <w:rsid w:val="008A79E8"/>
    <w:rsid w:val="009070A6"/>
    <w:rsid w:val="00914C32"/>
    <w:rsid w:val="00967124"/>
    <w:rsid w:val="009975EE"/>
    <w:rsid w:val="00A10775"/>
    <w:rsid w:val="00A521B1"/>
    <w:rsid w:val="00A57263"/>
    <w:rsid w:val="00A61504"/>
    <w:rsid w:val="00A64056"/>
    <w:rsid w:val="00B01174"/>
    <w:rsid w:val="00B37344"/>
    <w:rsid w:val="00B66F44"/>
    <w:rsid w:val="00B85101"/>
    <w:rsid w:val="00BB549E"/>
    <w:rsid w:val="00BE44CF"/>
    <w:rsid w:val="00C060C4"/>
    <w:rsid w:val="00C63FE1"/>
    <w:rsid w:val="00CE56E4"/>
    <w:rsid w:val="00CF0113"/>
    <w:rsid w:val="00D0484D"/>
    <w:rsid w:val="00D57ED9"/>
    <w:rsid w:val="00D83757"/>
    <w:rsid w:val="00D97873"/>
    <w:rsid w:val="00E11871"/>
    <w:rsid w:val="00E97EE6"/>
    <w:rsid w:val="00EC0147"/>
    <w:rsid w:val="00EC6DDF"/>
    <w:rsid w:val="00F10971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7DF3"/>
  <w15:docId w15:val="{9439FD27-BBC1-4055-8C35-2903E00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Mariam Darakhvelidze</cp:lastModifiedBy>
  <cp:revision>3</cp:revision>
  <dcterms:created xsi:type="dcterms:W3CDTF">2018-02-12T05:45:00Z</dcterms:created>
  <dcterms:modified xsi:type="dcterms:W3CDTF">2018-02-12T06:14:00Z</dcterms:modified>
</cp:coreProperties>
</file>